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a3b006ac13440f" /></Relationships>
</file>

<file path=word/document.xml><?xml version="1.0" encoding="utf-8"?>
<w:document xmlns:w="http://schemas.openxmlformats.org/wordprocessingml/2006/main">
  <w:body>
    <w:tbl>
      <w:tblPr>
        <w:tblW w:w="9000" w:type="dxa"/>
        <w:tblBorders>
          <w:top w:val="nil"/>
          <w:bottom w:val="nil"/>
          <w:left w:val="nil"/>
          <w:right w:val="nil"/>
          <w:insideH w:val="nil"/>
          <w:insideV w:val="nil"/>
        </w:tblBorders>
        <w:tblCellSpacing w:w="60" w:type="dxa"/>
        <w:shd w:val="clear" w:color="auto" w:fill="E7F0F9"/>
      </w:tblPr>
      <w:tblGrid>
        <w:gridCol w:w="1200"/>
        <w:gridCol w:w="4500"/>
      </w:tblGrid>
      <w:tr>
        <w:tc>
          <w:tcPr>
            <w:tcW w:w="1200" w:type="pct"/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rPr>
                <w:b/>
              </w:rPr>
              <w:t xml:space="preserve">RKP broj</w:t>
            </w:r>
          </w:p>
        </w:tc>
        <w:tc>
          <w:tcPr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t xml:space="preserve">31737</w:t>
            </w:r>
          </w:p>
        </w:tc>
      </w:tr>
      <w:tr>
        <w:tc>
          <w:tcPr>
            <w:tcW w:w="1200" w:type="pct"/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rPr>
                <w:b/>
              </w:rPr>
              <w:t xml:space="preserve">Naziv obveznika</w:t>
            </w:r>
          </w:p>
        </w:tc>
        <w:tc>
          <w:tcPr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t xml:space="preserve">OPĆINA DONJA VOĆA</w:t>
            </w:r>
          </w:p>
        </w:tc>
      </w:tr>
      <w:tr>
        <w:tc>
          <w:tcPr>
            <w:tcW w:w="1200" w:type="pct"/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rPr>
                <w:b/>
              </w:rPr>
              <w:t xml:space="preserve">Razina</w:t>
            </w:r>
          </w:p>
        </w:tc>
        <w:tc>
          <w:tcPr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t xml:space="preserve">22</w:t>
            </w:r>
          </w:p>
        </w:tc>
      </w:tr>
    </w:tbl>
    <w:p>
      <w:r>
        <w:br/>
      </w:r>
    </w:p>
    <w:p>
      <w:pPr>
        <w:jc w:val="center"/>
        <w:pStyle w:val="Normal"/>
        <w:spacing w:line="240" w:lineRule="auto"/>
      </w:pPr>
      <w:r>
        <w:rPr>
          <w:b/>
          <w:sz w:val="28"/>
          <w:rFonts w:ascii="Times New Roman" w:hAnsi="Times New Roman"/>
        </w:rPr>
        <w:t xml:space="preserve">BILJEŠKE UZ FINANCIJSKE IZVJEŠTAJE</w:t>
      </w:r>
    </w:p>
    <w:p>
      <w:pPr>
        <w:jc w:val="center"/>
        <w:pStyle w:val="Normal"/>
        <w:spacing w:line="240" w:lineRule="auto"/>
      </w:pPr>
      <w:r>
        <w:rPr>
          <w:b/>
          <w:sz w:val="28"/>
          <w:rFonts w:ascii="Times New Roman" w:hAnsi="Times New Roman"/>
        </w:rPr>
        <w:t xml:space="preserve">ZA RAZDOBLJE</w:t>
      </w:r>
    </w:p>
    <w:p>
      <w:pPr>
        <w:jc w:val="center"/>
        <w:pStyle w:val="Normal"/>
        <w:spacing w:line="240" w:lineRule="auto"/>
      </w:pPr>
      <w:r>
        <w:rPr>
          <w:b/>
          <w:sz w:val="28"/>
          <w:rFonts w:ascii="Times New Roman" w:hAnsi="Times New Roman"/>
        </w:rPr>
        <w:t xml:space="preserve">I - XII 2025.</w:t>
      </w:r>
    </w:p>
    <w:p/>
    <w:p>
      <w:pPr>
        <w:jc w:val="center"/>
        <w:pStyle w:val="Normal"/>
        <w:spacing w:line="240" w:lineRule="auto"/>
        <w:keepNext/>
      </w:pPr>
      <w:r>
        <w:rPr>
          <w:b/>
          <w:sz w:val="28"/>
          <w:rFonts w:ascii="Times New Roman" w:hAnsi="Times New Roman"/>
        </w:rPr>
        <w:t xml:space="preserve">Izvještaj o prihodima i rashodima, primicima i izdacima</w:t>
      </w:r>
    </w:p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0" w:type="auto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PRIHODI POSLOVANJA (šifre 61+62+63+64+65+66+67+68)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1.463.838,02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1.702.375,68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116,3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RASHODI POSLOVANJA (šifre 31+32+34+35+36+37+38)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1.313.576,74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1.384.487,43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105,4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VIŠAK PRIHODA POSLOVANJA (šifre 6-Z005)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X001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150.261,28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317.888,25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211,6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Prihodi od prodaje nefinancijske imovine (šifre 71+72+73+74)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4.716,42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41.316,12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876,0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Rashodi za nabavu nefinancijske imovine (šifre 41+42+43+44+45)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301.576,14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792.254,96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262,7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MANJAK PRIHODA OD NEFINANCIJSKE IMOVINE (šifre 4-7)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Y002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296.859,72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750.938,84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253,0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Primici od financijske imovine i zaduživanja (šifre 81+82+83+84+85)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209.170,34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242.999,04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116,2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Izdaci za financijsku imovinu i otplate zajmova (šifre 51+52+53+54+55)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443.992,60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244.110,75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55,0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MANJAK PRIMITAKA OD FINANCIJSKE IMOVINE I ZADUŽIVANJA (šifre 5-8)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Y003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234.822,26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1.111,71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0,5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MANJAK PRIHODA I PRIMITAKA (šifre Y345-X678)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Y005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381.420,70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434.162,30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113,8</w:t>
            </w:r>
          </w:p>
        </w:tc>
      </w:tr>
    </w:tbl>
    <w:p>
      <w:pPr>
        <w:spacing w:before="0" w:after="0"/>
      </w:pPr>
    </w:p>
    <w:p>
      <w:r>
        <w:t xml:space="preserve">U razdoblju od 1. siječnja do 31. prosinca 2025. godine prihodi poslovanja ostvareni su u iznosu od 1.702.375,68 eura. Najznačajnije povećanje prihoda poslovanja se odnosi se na prihode od kapitalnih pomoći iz državnog proračuna za rekonstrukciju nerazvrstanih cesta i kapitalne pomoći temeljem prijenosa EU sredstava za projekat rekonstrukcije područne škole u dječji vrtić. Rashodi poslovanja u istom razdoblju su ostvareni u iznosu od 1.384.487,43 eura. Najznačajnije povećanje  rashoda je evidentirano na rashodima za zaposlene zbog provođenja projekta Zaželi. U promatranom razdoblju ukupni prihodi od prodaje nefinancijske imovine izvršeni su u iznosu od 41.316,12 eura i to od prodaje zemljišta i građevinskih objekata. Rashodi za nabavu nefinancijske imovine izvršeni su u iznosu od  792.254,96 eura, a najvećim dijelom se odnose na ulaganje u tuđu imovinu radi prava korištenja (rekonstrukcija područne škole) i rekonstrukciju nerazvrstanih cesta. Ukupni primici od financijske imovine izvršeni su u iznosu 242.999,04 eura, dok su izdaci za financijsku imovinu izvršeni u iznosu od 244.110,75 eura.</w:t>
      </w:r>
    </w:p>
    <w:p>
      <w:r>
        <w:t xml:space="preserve">U promatranom razdoblju ostvaren je višak prihoda poslovanja od 317.888,25 eura, manjak prihoda od nefinancijske imovine u iznosu od 750.938,84 eura, te manjak od financijske imovine i zaduživanja u iznosu od 1.111,71 eura, što je u konačnici ukupan manjak od 434.162,30 eura.</w:t>
      </w:r>
    </w:p>
    <w:p>
      <w:r>
        <w:t xml:space="preserve"> </w:t>
      </w:r>
    </w:p>
    <w:p>
      <w:r>
        <w:t xml:space="preserve"> </w:t>
      </w:r>
    </w:p>
    <w:p>
      <w:r>
        <w:br/>
      </w:r>
    </w:p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PRIHODI POSLOVANJA (šifre 61+62+63+64+65+66+67+68)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1.463.838,02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1.702.375,68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116,3</w:t>
            </w:r>
          </w:p>
        </w:tc>
      </w:tr>
    </w:tbl>
    <w:p>
      <w:pPr>
        <w:spacing w:before="0" w:after="0"/>
      </w:pPr>
    </w:p>
    <w:p>
      <w:r>
        <w:t xml:space="preserve">Prihodi poslovanja  ostvareni su u iznosu od 1.702.375,68 eura, što je za 16% više u odnosu na prethodnu godinu.  Od ukupnih prihoda 29% se odnosi na pomoći fiskalnog izravnanja iz državnog proračuna, dok se 36% odnosi na prihode od poreza na dohodak.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6117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Povrat poreza na dohodak po godišnjoj prijavi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6117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163.643,84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170.900,42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104,4</w:t>
            </w:r>
          </w:p>
        </w:tc>
      </w:tr>
    </w:tbl>
    <w:p>
      <w:pPr>
        <w:spacing w:before="0" w:after="0"/>
      </w:pPr>
    </w:p>
    <w:p>
      <w:r>
        <w:t xml:space="preserve">Povrat poreza na dohodak po godišnjoj prijavi izvršen je u iznosu od 170.900,42 eura i veći je za 4% u odnosu na prethodnu godinu.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4.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6134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Povremeni porezi na imovinu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6134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22.123,29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27.698,20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125,2</w:t>
            </w:r>
          </w:p>
        </w:tc>
      </w:tr>
    </w:tbl>
    <w:p>
      <w:pPr>
        <w:spacing w:before="0" w:after="0"/>
      </w:pPr>
    </w:p>
    <w:p>
      <w:r>
        <w:t xml:space="preserve">Gore navedeni porez se odnosi na porez na promet nekretnina i veći je 25% u odnosu na isto razdoblje prošle godine, a ovisi isključivo o kupoprodaji nekretnina na području općine.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5.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Pomoći proračunu i izvanproračunskim korisnicima iz drugih proračuna (šifre 6331+6332)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599.211,82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156.862,84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26,2</w:t>
            </w:r>
          </w:p>
        </w:tc>
      </w:tr>
    </w:tbl>
    <w:p>
      <w:pPr>
        <w:spacing w:before="0" w:after="0"/>
      </w:pPr>
    </w:p>
    <w:p>
      <w:r>
        <w:t xml:space="preserve">Pomoći proračuna iz drugih proračuna u iznosu od 156.862,84 eura odnose se na kapitalne pomoći iz državnog proračuna u iznosu od 112.085,00 eura, tekuće pomoći iz državnog proračuna od 30.653,93 eura i tekuće pomoći iz županijskog proračuna u iznosu od 14.123,91 eura.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6.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6342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Kapitalne pomoći od izvanproračunskih korisnika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6342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27.551,04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Navedena pomoć se odnosi na kapitalnu pomoć od Fonda za zaštitu okoliša za informatizaciju općine.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7.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Plaće (bruto) (šifre 3111 do 3114)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102.712,38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201.907,88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196,6</w:t>
            </w:r>
          </w:p>
        </w:tc>
      </w:tr>
    </w:tbl>
    <w:p>
      <w:pPr>
        <w:spacing w:before="0" w:after="0"/>
      </w:pPr>
    </w:p>
    <w:p>
      <w:r>
        <w:t xml:space="preserve">Plaće imaju povećanje od 97% u odnosu na prethodnu godinu zbog povećanja osnovice za obračun plaća za zaposlene u Jedinstvenom upravnom odjelu i zbog zaposlenih u programu Zaželi.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8.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Ostali rashodi za zaposlene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5.060,00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12.718,27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251,3</w:t>
            </w:r>
          </w:p>
        </w:tc>
      </w:tr>
    </w:tbl>
    <w:p>
      <w:pPr>
        <w:spacing w:before="0" w:after="0"/>
      </w:pPr>
    </w:p>
    <w:p>
      <w:r>
        <w:t xml:space="preserve">Ostali rashodi za zaposlene također imaju znatno povećanje jer se isplaćuju paušalne naknade za troškove prehrane, kao i regres, božićnica, uskrsnica i drugo.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9.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Naknade troškova zaposlenima (šifre 3211 do 3214)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19.384,73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26.435,02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136,4</w:t>
            </w:r>
          </w:p>
        </w:tc>
      </w:tr>
    </w:tbl>
    <w:p>
      <w:pPr>
        <w:spacing w:before="0" w:after="0"/>
      </w:pPr>
    </w:p>
    <w:p>
      <w:r>
        <w:t xml:space="preserve">Naknade troškova zaposlenima imaju povećanje od 36% zbog povećanih rashoda za službena putovanja, naknade za prijevoz i stručno usavršavanje zaposlenika.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10.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3227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Službena, radna i zaštitna odjeća i obuća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3227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21,90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900,94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4113,9</w:t>
            </w:r>
          </w:p>
        </w:tc>
      </w:tr>
    </w:tbl>
    <w:p>
      <w:pPr>
        <w:spacing w:before="0" w:after="0"/>
      </w:pPr>
    </w:p>
    <w:p>
      <w:r>
        <w:t xml:space="preserve">Navedeni rashod ima znatno povećanje zbog nabave radne odjeće za zaposlene u programu Zaželi.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11.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Rashodi za usluge (šifre 3231 do 3239)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750.526,70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665.870,04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88,7</w:t>
            </w:r>
          </w:p>
        </w:tc>
      </w:tr>
    </w:tbl>
    <w:p>
      <w:pPr>
        <w:spacing w:before="0" w:after="0"/>
      </w:pPr>
    </w:p>
    <w:p>
      <w:r>
        <w:t xml:space="preserve">Rashodi za usluge imaju znatnije povećanje kod komunalnih usluga, zakupnina i najamnina, računalnih usluga i ostalih usluga.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12.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Ostali nespomenuti rashodi poslovanja (šifre 3291 do 3299)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27.885,90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88.202,97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316,3</w:t>
            </w:r>
          </w:p>
        </w:tc>
      </w:tr>
    </w:tbl>
    <w:p>
      <w:pPr>
        <w:spacing w:before="0" w:after="0"/>
      </w:pPr>
    </w:p>
    <w:p>
      <w:r>
        <w:t xml:space="preserve">Ostali nespomenuti rashodi poslovanja su znatno veći, a najveće povećanje je kod premija osiguranja, pristojba i naknada i ostalih nespomenutih rashoda poslovanja.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13.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342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Kamate za primljene kredite i zajmove (šifre 3421 do 3428)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342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15.639,91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19.104,51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122,2</w:t>
            </w:r>
          </w:p>
        </w:tc>
      </w:tr>
    </w:tbl>
    <w:p>
      <w:pPr>
        <w:spacing w:before="0" w:after="0"/>
      </w:pPr>
    </w:p>
    <w:p>
      <w:r>
        <w:t xml:space="preserve">Kamate na primljene kredite i zajmove imaju povećanje od 22% zbog obveza za kamate na zajmove od trgovačkog društva.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14.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Subvencije (šifre 351+352+353)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53.553,34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92.795,48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173,3</w:t>
            </w:r>
          </w:p>
        </w:tc>
      </w:tr>
    </w:tbl>
    <w:p>
      <w:pPr>
        <w:spacing w:before="0" w:after="0"/>
      </w:pPr>
    </w:p>
    <w:p>
      <w:r>
        <w:t xml:space="preserve">Subvencije također imaju znatno povećanje zbog danih subvencija trgovačkim društvima, obrtnicima i poljoprivrednicima temeljem odobrenih potpora u gospodarstvu i poljoprivredi.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15.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3661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Tekuće pomoći proračunskim korisnicima drugih proračuna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3661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15.235,66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24.032,30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157,7</w:t>
            </w:r>
          </w:p>
        </w:tc>
      </w:tr>
    </w:tbl>
    <w:p>
      <w:pPr>
        <w:spacing w:before="0" w:after="0"/>
      </w:pPr>
    </w:p>
    <w:p>
      <w:r>
        <w:t xml:space="preserve">Tekuće pomoći se odnose na pomoći dječjim vrtićima kao proračunskim korisnicima drugih proračuna za smještaj djece u vrtiće i osnovnoj školi za sufinanciranje zaposlenih u produženom boravku.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16.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Rashodi za nabavu nefinancijske imovine (šifre 41+42+43+44+45)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301.576,14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792.254,96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262,7</w:t>
            </w:r>
          </w:p>
        </w:tc>
      </w:tr>
    </w:tbl>
    <w:p>
      <w:pPr>
        <w:spacing w:before="0" w:after="0"/>
      </w:pPr>
    </w:p>
    <w:p>
      <w:r>
        <w:t xml:space="preserve">Rashodi za nabavu nefinancijske imovine izvršeni su u iznosu od 792.254,96 eura i veći su za 163% u odnosu na prethodnu godinu i čine 36% ukupnih rashoda.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17.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Primici od financijske imovine i zaduživanja (šifre 81+82+83+84+85)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209.170,34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242.999,04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116,2</w:t>
            </w:r>
          </w:p>
        </w:tc>
      </w:tr>
    </w:tbl>
    <w:p>
      <w:pPr>
        <w:spacing w:before="0" w:after="0"/>
      </w:pPr>
    </w:p>
    <w:p>
      <w:r>
        <w:t xml:space="preserve">primici od financijske imovine i zaduživanja u iznosu od 242.999,04 eura odnosi se na kratkoročni primljeni zajam od poslovne banke po okvirnom kreditu u iznosu od 132.249,04 eura i kratkoročni primljeni zajam od trgovačkog društva u iznosu od 110.750,00 eura.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18.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Izdaci za financijsku imovinu i otplate zajmova (šifre 51+52+53+54+55)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443.992,60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244.110,75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55,0</w:t>
            </w:r>
          </w:p>
        </w:tc>
      </w:tr>
    </w:tbl>
    <w:p>
      <w:pPr>
        <w:spacing w:before="0" w:after="0"/>
      </w:pPr>
    </w:p>
    <w:p>
      <w:r>
        <w:t xml:space="preserve">Gore navedeni izdaci se odnose na izdatke za otplatu glavnice primljenih dugoročnih kredita u iznosu od 109.110,75 eura i otplatu glavnice primljenog zajma od ostalih korisnika državnog proračuna u iznosu od 135.000,00 eura.</w:t>
      </w:r>
    </w:p>
    <w:p/>
    <w:p>
      <w:pPr>
        <w:jc w:val="center"/>
        <w:pStyle w:val="Normal"/>
        <w:spacing w:line="240" w:lineRule="auto"/>
        <w:keepNext/>
      </w:pPr>
      <w:r>
        <w:rPr>
          <w:b/>
          <w:sz w:val="28"/>
          <w:rFonts w:ascii="Times New Roman" w:hAnsi="Times New Roman"/>
        </w:rPr>
        <w:t xml:space="preserve">Bilanca</w:t>
      </w:r>
    </w:p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19.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1. siječnja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31. prosinca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Nefinancijska imovina (šifre 01+02+03+04+05+06)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B002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2.329.214,75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2.888.487,57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124,0</w:t>
            </w:r>
          </w:p>
        </w:tc>
      </w:tr>
    </w:tbl>
    <w:p>
      <w:pPr>
        <w:spacing w:before="0" w:after="0"/>
      </w:pPr>
    </w:p>
    <w:p>
      <w:r>
        <w:t xml:space="preserve">Nefinancijska imovina uvećana je za nabave imovine u 2025. godini i umanjena za obračunati ispravak vrijednosti primjenom propisanih stopa.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20.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1. siječnja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31. prosinca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0213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Ceste, željeznice i ostali prometni objekti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0213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1.184.672,72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1.413.718,79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119,3</w:t>
            </w:r>
          </w:p>
        </w:tc>
      </w:tr>
    </w:tbl>
    <w:p>
      <w:pPr>
        <w:spacing w:before="0" w:after="0"/>
      </w:pPr>
    </w:p>
    <w:p>
      <w:r>
        <w:t xml:space="preserve">Ceste imaju povećanje od 19% u odnosu na prošlu godinu zbog znatnog ulaganja u rekonstrukciju nerazvrstanih cesta na području općine.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21.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1. siječnja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31. prosinca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051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Građevinski objekti u pripremi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051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64.694,61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604.082,26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933,7</w:t>
            </w:r>
          </w:p>
        </w:tc>
      </w:tr>
    </w:tbl>
    <w:p>
      <w:pPr>
        <w:spacing w:before="0" w:after="0"/>
      </w:pPr>
    </w:p>
    <w:p>
      <w:r>
        <w:t xml:space="preserve">Građevinski objekti u pripremi imaju povećanje od 539.387,65 eura zbog provedbe EU projekta rekonstrukcije područne škole u dječji vrtić koji je u tijeku.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22.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1. siječnja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31. prosinca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Ostala potraživanja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133.752,24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118.057,66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88,3</w:t>
            </w:r>
          </w:p>
        </w:tc>
      </w:tr>
    </w:tbl>
    <w:p>
      <w:pPr>
        <w:spacing w:before="0" w:after="0"/>
      </w:pPr>
    </w:p>
    <w:p>
      <w:r>
        <w:t xml:space="preserve">Ostala potraživanja od 118.057,66 eura se odnose na potraživanja za predujmove od 92.452,11 eura i ostala nespomenuta potraživanja od Općine Bednja i Grada Lepoglava u iznosu od 25.605,55 eura.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23.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1. siječnja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31. prosinca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169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Ispravak vrijednosti potraživanja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169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47.143,22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15.886,42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33,7</w:t>
            </w:r>
          </w:p>
        </w:tc>
      </w:tr>
    </w:tbl>
    <w:p>
      <w:pPr>
        <w:spacing w:before="0" w:after="0"/>
      </w:pPr>
    </w:p>
    <w:p>
      <w:r>
        <w:t xml:space="preserve">Ispravak vrijednosti potraživanja u iznosu od 15.886,42 eura odnosi se na potraživanje za prihode poslovanja (porez na promet nekretnina, porez na potrošnju, zakup i iznajmljivanje imovine, naknada za uređenje voda, komunalna naknada, prihodi od pruženih usluga i ostali prihodi od nefinancijske imovine) za obveznike koji kasne s naplatom preko dvije godine gdje je sukladno Pravilniku o proračunskom računovodstvu i računskom planu vrijednost potraživanja ispravljena po stopi od 100%.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24.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1. siječnja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31. prosinca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171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Potraživanje od prodaje neproizvedene dugotrajne imovine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171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1.870,15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Navedeno potraživanje se odnosi na potraživanje temeljem Ugovora o kupoprodaji nekretnine, gdje dogovorena obročna otplata duga.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25.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1. siječnja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31. prosinca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Obveze za zaposlene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8.982,48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18.809,20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209,4</w:t>
            </w:r>
          </w:p>
        </w:tc>
      </w:tr>
    </w:tbl>
    <w:p>
      <w:pPr>
        <w:spacing w:before="0" w:after="0"/>
      </w:pPr>
    </w:p>
    <w:p>
      <w:r>
        <w:t xml:space="preserve">Obveze za zaposlene u iznosu od 18.809,20 eura odnose se na obvezu za plaću za 12. mjesec 2025. godine za općinsku načelnicu, zaposlenike Jedinstvenog upravnog odjela i zaposlene u programu Zaželi.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26.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1. siječnja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31. prosinca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234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Obveze za financijske rashode (šifre 2341 do 2343)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234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19.680,84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31.213,97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158,6</w:t>
            </w:r>
          </w:p>
        </w:tc>
      </w:tr>
    </w:tbl>
    <w:p>
      <w:pPr>
        <w:spacing w:before="0" w:after="0"/>
      </w:pPr>
    </w:p>
    <w:p>
      <w:r>
        <w:t xml:space="preserve">Obveze za financijske rashode su znatno veće u odnosu na prethodnu godinu i to zbog obveze za kamate na primljeni zajam od trgovačkog društva.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27.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1. siječnja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31. prosinca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235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Obveze za subvencije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235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10.995,47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27.313,10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248,4</w:t>
            </w:r>
          </w:p>
        </w:tc>
      </w:tr>
    </w:tbl>
    <w:p>
      <w:pPr>
        <w:spacing w:before="0" w:after="0"/>
      </w:pPr>
    </w:p>
    <w:p>
      <w:r>
        <w:t xml:space="preserve">Obveze za subvencije također imaju znatno povećanje zbog obveza prema dječjim vrtićima u privatnom vlasništvu.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28.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1. siječnja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31. prosinca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Obveze za nabavu nefinancijske imovine (šifre 241 do 245)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115.892,62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550.168,62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474,7</w:t>
            </w:r>
          </w:p>
        </w:tc>
      </w:tr>
    </w:tbl>
    <w:p>
      <w:pPr>
        <w:spacing w:before="0" w:after="0"/>
      </w:pPr>
    </w:p>
    <w:p>
      <w:r>
        <w:t xml:space="preserve">Obveze za nabavu nefinancijske imovine imaju povećanje od 434.276,00 eura i to najvećim dijelom zbog obveze za račune iz 12. mjeseca za rekonstrukciju područne škole i rekonstrukciju nerazvrstanih cesta.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29.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1. siječnja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31. prosinca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991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Izvanbilančni zapisi - aktiva (šifra 996)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991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1.597.496,82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2.208.995,94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138,3</w:t>
            </w:r>
          </w:p>
        </w:tc>
      </w:tr>
    </w:tbl>
    <w:p>
      <w:pPr>
        <w:spacing w:before="0" w:after="0"/>
      </w:pPr>
    </w:p>
    <w:p>
      <w:r>
        <w:t xml:space="preserve">Izvanbilančni zapisi u iznosu od 2.208.995,94 eura odnose se na potencijalne obveze po danim jamstviam u iznosu od 881.048,01 eura, na izdane zadužnice kao instrumente osiguranja u iznosu od 518.722,80 eura, potencijalne obveze po osnovi sudskih sporova u tijeku u iznosu od 197.726,01 eura, preuzete obveze po ugovorima o dodjeli bespovratnih sredstava iz EU fondova u iznosu od 503.822,88 eura i potraživanja po ugovorima o dodijeljenim bespovratnim sredstvima iz EU fondova u iznosu od 107.676,24 eura.</w:t>
      </w:r>
    </w:p>
    <w:p/>
    <w:p>
      <w:pPr>
        <w:jc w:val="center"/>
        <w:pStyle w:val="Normal"/>
        <w:spacing w:line="240" w:lineRule="auto"/>
        <w:keepNext/>
      </w:pPr>
      <w:r>
        <w:rPr>
          <w:b/>
          <w:sz w:val="28"/>
          <w:rFonts w:ascii="Times New Roman" w:hAnsi="Times New Roman"/>
        </w:rPr>
        <w:t xml:space="preserve">Izvještaj o rashodima prema funkcijskoj klasifikaciji</w:t>
      </w:r>
    </w:p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30.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/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Kontrolni zbroj (šifre 01+02+03+04+05+06+07+08+09+10)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R1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1.615.152,88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2.176.742,39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134,8</w:t>
            </w:r>
          </w:p>
        </w:tc>
      </w:tr>
    </w:tbl>
    <w:p>
      <w:pPr>
        <w:spacing w:before="0" w:after="0"/>
      </w:pPr>
    </w:p>
    <w:p>
      <w:r>
        <w:t xml:space="preserve">Ukupni rashodi su razvrstani prema funkcijskoj klasifikaciji i odgovaraju šifri Y034 iz obrasca PR-RAS.</w:t>
      </w:r>
    </w:p>
    <w:p/>
    <w:p>
      <w:pPr>
        <w:jc w:val="center"/>
        <w:pStyle w:val="Normal"/>
        <w:spacing w:line="240" w:lineRule="auto"/>
        <w:keepNext/>
      </w:pPr>
      <w:r>
        <w:rPr>
          <w:b/>
          <w:sz w:val="28"/>
          <w:rFonts w:ascii="Times New Roman" w:hAnsi="Times New Roman"/>
        </w:rPr>
        <w:t xml:space="preserve">Promjene u vrijednosti i obujmu imovine i obveza</w:t>
      </w:r>
    </w:p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31.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Iznos povećanja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Iznos smanjenja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Promjene u vrijednosti nefinancijske imovine (šifre P002 do P007)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P001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232.982,14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Smanjenje promjene u vrijednosti nefinancijske imovine u iznosu od 232.982,14 eura odnosi se na promjenu u vrijednosti neproizvedene i proizvedene imovine temeljem obračuna ispravka vrijednosti dugotrajne imovine.</w:t>
      </w:r>
    </w:p>
    <w:p/>
    <w:p>
      <w:pPr>
        <w:jc w:val="center"/>
        <w:pStyle w:val="Normal"/>
        <w:spacing w:line="240" w:lineRule="auto"/>
        <w:keepNext/>
      </w:pPr>
      <w:r>
        <w:rPr>
          <w:b/>
          <w:sz w:val="28"/>
          <w:rFonts w:ascii="Times New Roman" w:hAnsi="Times New Roman"/>
        </w:rPr>
        <w:t xml:space="preserve">Izvještaj o obvezama</w:t>
      </w:r>
    </w:p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32.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Iznos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/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Stanje dospjelih obveza na kraju izvještajnog razdoblja (šifre V008+D23+D24 + 'D dio 25,26' + D27)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V007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888.964,49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Stanje dospjelih obveza na kraju godine iznosi 888.964,49 eura što je rezultat manjka općih prihoda i raskoraka u dinamici ostvarenja prihoda u odnosu na dospjele obveze.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33.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Iznos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/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Međusobne obveze subjekata općeg proračuna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V010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5.349,31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Međusobne obveze subjekata općeg proračuna odnose se na obveze prema Hrvatskim vodama za naknadu za uređenje voda, obveze prema Državnom proračunu za neisplaćene troškove ogrijeva i obveza za EU predujam.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34.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Iznos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Obveze za rashode poslovanja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ND23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73.500,18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Stanje nedospjelih obveza za rashode poslovanja u iznosu od 73.500,18 eura odnosi se na:</w:t>
      </w:r>
    </w:p>
    <w:p>
      <w:r>
        <w:t xml:space="preserve">-231 - obveze za zaposlene u iznosu od 18.809,20 eura za plaću za prosinac 2025. godine koja je isplažena u siječnju 2026. godine</w:t>
      </w:r>
    </w:p>
    <w:p>
      <w:r>
        <w:t xml:space="preserve">-232- obveze za materijalne rashode u iznosu od 45.210,87 eura za račune dobavljača i troškove prijevoza sa dospijećem od siječnja do ožujka 2026. godine</w:t>
      </w:r>
    </w:p>
    <w:p>
      <w:r>
        <w:t xml:space="preserve">-234 - obveze za financijske rashode u iznosu od 229,17 eura</w:t>
      </w:r>
    </w:p>
    <w:p>
      <w:r>
        <w:t xml:space="preserve">-235- obveze za subvencije u iznosu od 5.648,00 eura</w:t>
      </w:r>
    </w:p>
    <w:p>
      <w:r>
        <w:t xml:space="preserve">-236 -  obveze za tekuće pomoći proračunskim korisnicima u iznosu od 1.090,96 eura</w:t>
      </w:r>
    </w:p>
    <w:p>
      <w:r>
        <w:t xml:space="preserve">-237 - obveze za ostale naknade građanima i kućanstvima u iznosu od 32,69 eura</w:t>
      </w:r>
    </w:p>
    <w:p>
      <w:r>
        <w:t xml:space="preserve">-238 - obveze za tekuće donacije u novcu u iznosu od 2.479,29 eura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35.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Iznos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Obveze za nabavu nefinancijske imovine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ND24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269.936,97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Stanje nedospjelih obveza za nabavu nefinancijske imovine u iznosu od 269.936,97 eura odnosi se na obveze prema izvođačima radova temeljem ispostavljenih računa i obračunskih situacija.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36.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Iznos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dio 25,26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Obveze za financijsku imovinu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ND dio 25,26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656.317,91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Obveze za financijsku imovinu um iznosu od 656.317,91 eura odnosi se na:</w:t>
      </w:r>
    </w:p>
    <w:p>
      <w:r>
        <w:t xml:space="preserve">-obveze po odobrenom okvirnom kreditu HPB (minus po računu) u iznosu od 132.249,04 eura</w:t>
      </w:r>
    </w:p>
    <w:p>
      <w:r>
        <w:t xml:space="preserve">-obveze po dugoročnim kreditima HPB u ukupnom iznosu od 255.530,52 eura</w:t>
      </w:r>
    </w:p>
    <w:p>
      <w:r>
        <w:t xml:space="preserve">-obveze za kratkoročne zajmove tuzemnih trgovačkih društava u iznosu od 110.750,00 eura</w:t>
      </w:r>
    </w:p>
    <w:p>
      <w:r>
        <w:t xml:space="preserve">-obveze za kratkoročne zajmove iz državnog proračuna u iznosu od 22.788,35 eura</w:t>
      </w:r>
    </w:p>
    <w:p>
      <w:r>
        <w:t xml:space="preserve">-obveze za kratkoročne zajmove od ostalih izvanproračunskih korisnika državnog proračuna u iznosu od 135.000,00 eura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37.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Iznos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Obveze za predujmove, depozite, jamčevne pologe i tuđe prihode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ND27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12.975,62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Navedeni iznos se odnosi na obveze za jamčevne pologe.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38.</w:t>
      </w:r>
    </w:p>
    <w:p>
      <w:pPr>
        <w:jc w:val="both"/>
        <w:pStyle w:val="Normal"/>
        <w:spacing w:line="240" w:lineRule="auto"/>
      </w:pPr>
      <w:r>
        <w:rPr>
          <w:b/>
          <w:sz w:val="24"/>
          <w:rFonts w:ascii="Times New Roman" w:hAnsi="Times New Roman"/>
        </w:rPr>
        <w:t xml:space="preserve">EU izvještaj</w:t>
      </w:r>
    </w:p>
    <w:p>
      <w:r>
        <w:t xml:space="preserve">Općina Donja Voća su u 2025. godini dodijeljena sredstva iz Europskog socijalnog fonda u iznosu od 61.989,63 eura za projekat Zaželi - prevencija institucionalizacije.  Za navedeni projekat je u 2025. godini utrošeno ukupno 118.706,76 eura. Projekat se financira u omjeru 85% iz izvora 561 i 15% nacionalno sufinanciranje.</w:t>
      </w:r>
    </w:p>
    <w:p>
      <w:r>
        <w:t xml:space="preserve">Općina također provodi projekat Rekonstrukcija područne škole s  ciljem provedbe programa predškolskog odgoja i obrazovanja u Općini Donja Voća, mjera NPOO.C3.1.R1-I1.01.0226. U 2025. godini je ukupno dodijeljeno prihoda 217.877,77 eura, dok je utrošeno ukupno 539.387,65 eura. Projekt se financira iz izvora 581 - 85% i nacionalno sufinanciranje je 15%.</w:t>
      </w:r>
    </w:p>
    <w:p>
      <w:r>
        <w:t xml:space="preserve"> </w:t>
      </w:r>
    </w:p>
    <w:p>
      <w:r>
        <w:t xml:space="preserve"> </w:t>
      </w:r>
    </w:p>
    <w:p/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4"/>
      </w:rPr>
    </w:rPrDefault>
  </w:docDefaults>
  <w:style w:type="paragraph" w:styleId="Normal" w:default="true">
    <w:name w:val="Normal"/>
    <w:rPr>
      <w:rFonts w:ascii="Times New Roman" w:hAnsi="Times New Roman"/>
      <w:sz w:val="24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cea4890119d41fe" /></Relationships>
</file>